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7C648" w14:textId="12151263" w:rsidR="00C7124D" w:rsidRPr="009A6B87" w:rsidRDefault="00C7124D">
      <w:pPr>
        <w:rPr>
          <w:rFonts w:ascii="Times New Roman" w:hAnsi="Times New Roman" w:cs="Times New Roman"/>
          <w:sz w:val="24"/>
          <w:szCs w:val="24"/>
        </w:rPr>
      </w:pPr>
    </w:p>
    <w:p w14:paraId="1EA4BD6F"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caps/>
          <w:sz w:val="24"/>
          <w:szCs w:val="24"/>
          <w:lang w:eastAsia="tr-TR"/>
        </w:rPr>
        <w:t>Avrupa Patentlerinin Verilmesi ile İlgili Avrupa Patent Sözleşmesinin Türkiye’de Uygulama Şeklini Gösterir Yönetmelik</w:t>
      </w:r>
    </w:p>
    <w:p w14:paraId="310411E8"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w:t>
      </w:r>
    </w:p>
    <w:p w14:paraId="042FCF2C"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BİRİNCİ BÖLÜM</w:t>
      </w:r>
    </w:p>
    <w:p w14:paraId="392B6EF3"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Amaç, Kapsam, Dayanak ve Tanımlar</w:t>
      </w:r>
    </w:p>
    <w:p w14:paraId="524C414F"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w:t>
      </w:r>
    </w:p>
    <w:p w14:paraId="52725627"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Amaç</w:t>
      </w:r>
    </w:p>
    <w:p w14:paraId="076009F0"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1 —</w:t>
      </w:r>
      <w:r w:rsidRPr="009A6B87">
        <w:rPr>
          <w:rFonts w:ascii="Times New Roman" w:eastAsia="Times New Roman" w:hAnsi="Times New Roman" w:cs="Times New Roman"/>
          <w:sz w:val="24"/>
          <w:szCs w:val="24"/>
          <w:lang w:eastAsia="tr-TR"/>
        </w:rPr>
        <w:t xml:space="preserve"> Bu Yönetmeliğin amacı, Avrupa Patentlerinin Verilmesi ile İlgili Avrupa Patent Sözleşmesinin Türkiye’deki uygulama esaslarını ve şeklini belirlemektir.</w:t>
      </w:r>
    </w:p>
    <w:p w14:paraId="0A69E1A8"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Kapsam</w:t>
      </w:r>
    </w:p>
    <w:p w14:paraId="1B02969E"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2 —</w:t>
      </w:r>
      <w:r w:rsidRPr="009A6B87">
        <w:rPr>
          <w:rFonts w:ascii="Times New Roman" w:eastAsia="Times New Roman" w:hAnsi="Times New Roman" w:cs="Times New Roman"/>
          <w:sz w:val="24"/>
          <w:szCs w:val="24"/>
          <w:lang w:eastAsia="tr-TR"/>
        </w:rPr>
        <w:t xml:space="preserve"> Bu Yönetmelik, Avrupa Patentlerinin Verilmesi ile İlgili Avrupa Patent Sözleşmesinin Türkiye’de uygulanmasına ilişkin esasları, kuralları ve şartları kapsar.</w:t>
      </w:r>
    </w:p>
    <w:p w14:paraId="4D58E1CC"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Hukuki Dayanak</w:t>
      </w:r>
    </w:p>
    <w:p w14:paraId="65DB2400"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3 —</w:t>
      </w:r>
      <w:r w:rsidRPr="009A6B87">
        <w:rPr>
          <w:rFonts w:ascii="Times New Roman" w:eastAsia="Times New Roman" w:hAnsi="Times New Roman" w:cs="Times New Roman"/>
          <w:sz w:val="24"/>
          <w:szCs w:val="24"/>
          <w:lang w:eastAsia="tr-TR"/>
        </w:rPr>
        <w:t xml:space="preserve"> Bu Yönetmelik, 551 sayılı Patent Haklarının Korunması Hakkında Kanun Hükmünde Kararname, Avrupa Patentlerinin Verilmesi ile İlgili Avrupa Patent Sözleşmesi ve 29/01/2000 tarihli ve 23948 sayılı </w:t>
      </w:r>
      <w:proofErr w:type="gramStart"/>
      <w:r w:rsidRPr="009A6B87">
        <w:rPr>
          <w:rFonts w:ascii="Times New Roman" w:eastAsia="Times New Roman" w:hAnsi="Times New Roman" w:cs="Times New Roman"/>
          <w:sz w:val="24"/>
          <w:szCs w:val="24"/>
          <w:lang w:eastAsia="tr-TR"/>
        </w:rPr>
        <w:t>Resmi</w:t>
      </w:r>
      <w:proofErr w:type="gramEnd"/>
      <w:r w:rsidRPr="009A6B87">
        <w:rPr>
          <w:rFonts w:ascii="Times New Roman" w:eastAsia="Times New Roman" w:hAnsi="Times New Roman" w:cs="Times New Roman"/>
          <w:sz w:val="24"/>
          <w:szCs w:val="24"/>
          <w:lang w:eastAsia="tr-TR"/>
        </w:rPr>
        <w:t xml:space="preserve"> </w:t>
      </w:r>
      <w:proofErr w:type="spellStart"/>
      <w:r w:rsidRPr="009A6B87">
        <w:rPr>
          <w:rFonts w:ascii="Times New Roman" w:eastAsia="Times New Roman" w:hAnsi="Times New Roman" w:cs="Times New Roman"/>
          <w:sz w:val="24"/>
          <w:szCs w:val="24"/>
          <w:lang w:eastAsia="tr-TR"/>
        </w:rPr>
        <w:t>Gazete’de</w:t>
      </w:r>
      <w:proofErr w:type="spellEnd"/>
      <w:r w:rsidRPr="009A6B87">
        <w:rPr>
          <w:rFonts w:ascii="Times New Roman" w:eastAsia="Times New Roman" w:hAnsi="Times New Roman" w:cs="Times New Roman"/>
          <w:sz w:val="24"/>
          <w:szCs w:val="24"/>
          <w:lang w:eastAsia="tr-TR"/>
        </w:rPr>
        <w:t xml:space="preserve"> yayımlanarak yürürlüğe giren 4504 sayılı Avrupa Patentlerinin Verilmesi ile İlgili Avrupa Patent Sözleşmesi ve Eklerine Katılmamızın Uygun Bulunduğuna Dair Kanuna dayanılarak hazırlanmıştır.</w:t>
      </w:r>
    </w:p>
    <w:p w14:paraId="23010C7D"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Tanımlar</w:t>
      </w:r>
    </w:p>
    <w:p w14:paraId="7A48CDE1"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4 —</w:t>
      </w:r>
      <w:r w:rsidRPr="009A6B87">
        <w:rPr>
          <w:rFonts w:ascii="Times New Roman" w:eastAsia="Times New Roman" w:hAnsi="Times New Roman" w:cs="Times New Roman"/>
          <w:sz w:val="24"/>
          <w:szCs w:val="24"/>
          <w:lang w:eastAsia="tr-TR"/>
        </w:rPr>
        <w:t xml:space="preserve"> Bu Yönetmelikte geçen;</w:t>
      </w:r>
    </w:p>
    <w:p w14:paraId="560F32F6"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a) </w:t>
      </w:r>
      <w:proofErr w:type="gramStart"/>
      <w:r w:rsidRPr="009A6B87">
        <w:rPr>
          <w:rFonts w:ascii="Times New Roman" w:eastAsia="Times New Roman" w:hAnsi="Times New Roman" w:cs="Times New Roman"/>
          <w:sz w:val="24"/>
          <w:szCs w:val="24"/>
          <w:lang w:eastAsia="tr-TR"/>
        </w:rPr>
        <w:t>Enstitü :</w:t>
      </w:r>
      <w:proofErr w:type="gramEnd"/>
      <w:r w:rsidRPr="009A6B87">
        <w:rPr>
          <w:rFonts w:ascii="Times New Roman" w:eastAsia="Times New Roman" w:hAnsi="Times New Roman" w:cs="Times New Roman"/>
          <w:sz w:val="24"/>
          <w:szCs w:val="24"/>
          <w:lang w:eastAsia="tr-TR"/>
        </w:rPr>
        <w:t xml:space="preserve"> Türk Patent Enstitüsünü,</w:t>
      </w:r>
    </w:p>
    <w:p w14:paraId="2022FBE2"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b) Kanun Hükmünde Kararname: 551 sayılı Patent Haklarının Korunması Hakkında Kanun Hükmünde Kararnameyi,</w:t>
      </w:r>
    </w:p>
    <w:p w14:paraId="7925D1E2"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c) </w:t>
      </w:r>
      <w:proofErr w:type="gramStart"/>
      <w:r w:rsidRPr="009A6B87">
        <w:rPr>
          <w:rFonts w:ascii="Times New Roman" w:eastAsia="Times New Roman" w:hAnsi="Times New Roman" w:cs="Times New Roman"/>
          <w:sz w:val="24"/>
          <w:szCs w:val="24"/>
          <w:lang w:eastAsia="tr-TR"/>
        </w:rPr>
        <w:t>Sözleşme :</w:t>
      </w:r>
      <w:proofErr w:type="gramEnd"/>
      <w:r w:rsidRPr="009A6B87">
        <w:rPr>
          <w:rFonts w:ascii="Times New Roman" w:eastAsia="Times New Roman" w:hAnsi="Times New Roman" w:cs="Times New Roman"/>
          <w:sz w:val="24"/>
          <w:szCs w:val="24"/>
          <w:lang w:eastAsia="tr-TR"/>
        </w:rPr>
        <w:t xml:space="preserve"> 5/10/1973 tarihinde Münih’te imzalanan, 29/1/2000 tarihli Resmî </w:t>
      </w:r>
      <w:proofErr w:type="spellStart"/>
      <w:r w:rsidRPr="009A6B87">
        <w:rPr>
          <w:rFonts w:ascii="Times New Roman" w:eastAsia="Times New Roman" w:hAnsi="Times New Roman" w:cs="Times New Roman"/>
          <w:sz w:val="24"/>
          <w:szCs w:val="24"/>
          <w:lang w:eastAsia="tr-TR"/>
        </w:rPr>
        <w:t>Gazete’de</w:t>
      </w:r>
      <w:proofErr w:type="spellEnd"/>
      <w:r w:rsidRPr="009A6B87">
        <w:rPr>
          <w:rFonts w:ascii="Times New Roman" w:eastAsia="Times New Roman" w:hAnsi="Times New Roman" w:cs="Times New Roman"/>
          <w:sz w:val="24"/>
          <w:szCs w:val="24"/>
          <w:lang w:eastAsia="tr-TR"/>
        </w:rPr>
        <w:t xml:space="preserve"> yayımlanan 4504 sayılı Kanunla Türkiye’nin katıldığı Avrupa Patentlerinin Verilmesi ile İlgili Avrupa Patent Sözleşmesini,</w:t>
      </w:r>
    </w:p>
    <w:p w14:paraId="3AF1C190"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d) Avrupa </w:t>
      </w:r>
      <w:proofErr w:type="gramStart"/>
      <w:r w:rsidRPr="009A6B87">
        <w:rPr>
          <w:rFonts w:ascii="Times New Roman" w:eastAsia="Times New Roman" w:hAnsi="Times New Roman" w:cs="Times New Roman"/>
          <w:sz w:val="24"/>
          <w:szCs w:val="24"/>
          <w:lang w:eastAsia="tr-TR"/>
        </w:rPr>
        <w:t>Patenti :</w:t>
      </w:r>
      <w:proofErr w:type="gramEnd"/>
      <w:r w:rsidRPr="009A6B87">
        <w:rPr>
          <w:rFonts w:ascii="Times New Roman" w:eastAsia="Times New Roman" w:hAnsi="Times New Roman" w:cs="Times New Roman"/>
          <w:sz w:val="24"/>
          <w:szCs w:val="24"/>
          <w:lang w:eastAsia="tr-TR"/>
        </w:rPr>
        <w:t xml:space="preserve"> Sözleşmeye göre Avrupa Patent Ofisi tarafından verilen patenti,</w:t>
      </w:r>
    </w:p>
    <w:p w14:paraId="679B91E5"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e) Avrupa Patenti </w:t>
      </w:r>
      <w:proofErr w:type="gramStart"/>
      <w:r w:rsidRPr="009A6B87">
        <w:rPr>
          <w:rFonts w:ascii="Times New Roman" w:eastAsia="Times New Roman" w:hAnsi="Times New Roman" w:cs="Times New Roman"/>
          <w:sz w:val="24"/>
          <w:szCs w:val="24"/>
          <w:lang w:eastAsia="tr-TR"/>
        </w:rPr>
        <w:t>Başvurusu :</w:t>
      </w:r>
      <w:proofErr w:type="gramEnd"/>
      <w:r w:rsidRPr="009A6B87">
        <w:rPr>
          <w:rFonts w:ascii="Times New Roman" w:eastAsia="Times New Roman" w:hAnsi="Times New Roman" w:cs="Times New Roman"/>
          <w:sz w:val="24"/>
          <w:szCs w:val="24"/>
          <w:lang w:eastAsia="tr-TR"/>
        </w:rPr>
        <w:t xml:space="preserve"> Sözleşmeye göre bir Avrupa Patenti için yapılan başvuruyu,</w:t>
      </w:r>
    </w:p>
    <w:p w14:paraId="5638DD33"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f) Vekil: Enstitü siciline kayıtlı patent vekilini,</w:t>
      </w:r>
    </w:p>
    <w:p w14:paraId="5E8AD3A7"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g) </w:t>
      </w:r>
      <w:r w:rsidRPr="009A6B87">
        <w:rPr>
          <w:rFonts w:ascii="Times New Roman" w:eastAsia="Times New Roman" w:hAnsi="Times New Roman" w:cs="Times New Roman"/>
          <w:b/>
          <w:bCs/>
          <w:sz w:val="24"/>
          <w:szCs w:val="24"/>
          <w:lang w:eastAsia="tr-TR"/>
        </w:rPr>
        <w:t>(</w:t>
      </w:r>
      <w:proofErr w:type="gramStart"/>
      <w:r w:rsidRPr="009A6B87">
        <w:rPr>
          <w:rFonts w:ascii="Times New Roman" w:eastAsia="Times New Roman" w:hAnsi="Times New Roman" w:cs="Times New Roman"/>
          <w:b/>
          <w:bCs/>
          <w:sz w:val="24"/>
          <w:szCs w:val="24"/>
          <w:lang w:eastAsia="tr-TR"/>
        </w:rPr>
        <w:t>Değişik:RG</w:t>
      </w:r>
      <w:proofErr w:type="gramEnd"/>
      <w:r w:rsidRPr="009A6B87">
        <w:rPr>
          <w:rFonts w:ascii="Times New Roman" w:eastAsia="Times New Roman" w:hAnsi="Times New Roman" w:cs="Times New Roman"/>
          <w:b/>
          <w:bCs/>
          <w:sz w:val="24"/>
          <w:szCs w:val="24"/>
          <w:lang w:eastAsia="tr-TR"/>
        </w:rPr>
        <w:t>-22/5/2008-26883)</w:t>
      </w:r>
      <w:r w:rsidRPr="009A6B87">
        <w:rPr>
          <w:rFonts w:ascii="Times New Roman" w:eastAsia="Times New Roman" w:hAnsi="Times New Roman" w:cs="Times New Roman"/>
          <w:sz w:val="24"/>
          <w:szCs w:val="24"/>
          <w:lang w:eastAsia="tr-TR"/>
        </w:rPr>
        <w:t xml:space="preserve">  Ücret Tebliği: 6/11/2003 tarihli ve 5000 sayılı Türk Patent Enstitüsü Kuruluş ve Görevleri Hakkında Kanunun 6 </w:t>
      </w:r>
      <w:proofErr w:type="spellStart"/>
      <w:r w:rsidRPr="009A6B87">
        <w:rPr>
          <w:rFonts w:ascii="Times New Roman" w:eastAsia="Times New Roman" w:hAnsi="Times New Roman" w:cs="Times New Roman"/>
          <w:sz w:val="24"/>
          <w:szCs w:val="24"/>
          <w:lang w:eastAsia="tr-TR"/>
        </w:rPr>
        <w:t>ncı</w:t>
      </w:r>
      <w:proofErr w:type="spellEnd"/>
      <w:r w:rsidRPr="009A6B87">
        <w:rPr>
          <w:rFonts w:ascii="Times New Roman" w:eastAsia="Times New Roman" w:hAnsi="Times New Roman" w:cs="Times New Roman"/>
          <w:sz w:val="24"/>
          <w:szCs w:val="24"/>
          <w:lang w:eastAsia="tr-TR"/>
        </w:rPr>
        <w:t xml:space="preserve"> maddesinin ikinci fıkrasının (f) bendi ve 25 inci maddesi gereği Türk Patent Enstitüsünce uygulanacak olan ücret tarifesini, ifade eder.,</w:t>
      </w:r>
    </w:p>
    <w:p w14:paraId="0EE69D9D"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proofErr w:type="gramStart"/>
      <w:r w:rsidRPr="009A6B87">
        <w:rPr>
          <w:rFonts w:ascii="Times New Roman" w:eastAsia="Times New Roman" w:hAnsi="Times New Roman" w:cs="Times New Roman"/>
          <w:sz w:val="24"/>
          <w:szCs w:val="24"/>
          <w:lang w:eastAsia="tr-TR"/>
        </w:rPr>
        <w:t>ifade</w:t>
      </w:r>
      <w:proofErr w:type="gramEnd"/>
      <w:r w:rsidRPr="009A6B87">
        <w:rPr>
          <w:rFonts w:ascii="Times New Roman" w:eastAsia="Times New Roman" w:hAnsi="Times New Roman" w:cs="Times New Roman"/>
          <w:sz w:val="24"/>
          <w:szCs w:val="24"/>
          <w:lang w:eastAsia="tr-TR"/>
        </w:rPr>
        <w:t xml:space="preserve"> eder.</w:t>
      </w:r>
    </w:p>
    <w:p w14:paraId="403951BF"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İKİNCİ BÖLÜM</w:t>
      </w:r>
    </w:p>
    <w:p w14:paraId="7201F1B0"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Uygulanacak Kanun Hükümleri</w:t>
      </w:r>
    </w:p>
    <w:p w14:paraId="4FA1DCF4"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Uygulanacak Kanun</w:t>
      </w:r>
    </w:p>
    <w:p w14:paraId="0FA66BC3"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Madde 5 — </w:t>
      </w:r>
      <w:r w:rsidRPr="009A6B87">
        <w:rPr>
          <w:rFonts w:ascii="Times New Roman" w:eastAsia="Times New Roman" w:hAnsi="Times New Roman" w:cs="Times New Roman"/>
          <w:sz w:val="24"/>
          <w:szCs w:val="24"/>
          <w:lang w:eastAsia="tr-TR"/>
        </w:rPr>
        <w:t>Aksi Sözleşmede belirtilmedikçe, Türkiye’nin seçildiği Avrupa patenti başvuruları ve Avrupa patentleri için Kanun Hükmünde Kararname, 551 sayılı Patent Haklarının Korunması Hakkında Kanun Hükmünde Kararnamenin Uygulama Şeklini Gösterir Yönetmelik ve bu Yönetmelik hükümleri uygulanır.</w:t>
      </w:r>
    </w:p>
    <w:p w14:paraId="7E80D9A0"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Sözleşme ile Kanun Hükmünde Kararname arasında herhangi bir aykırılık olması durumunda Sözleşme hükümleri uygulanır.</w:t>
      </w:r>
    </w:p>
    <w:p w14:paraId="3029BB66"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ÜÇÜNCÜ BÖLÜM</w:t>
      </w:r>
    </w:p>
    <w:p w14:paraId="4C06FDAA"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Avrupa Patenti Başvurusu</w:t>
      </w:r>
    </w:p>
    <w:p w14:paraId="433E32C8"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Başvuru Yeri ve Dili</w:t>
      </w:r>
    </w:p>
    <w:p w14:paraId="442EFC32"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lastRenderedPageBreak/>
        <w:t>Madde 6 —</w:t>
      </w:r>
      <w:r w:rsidRPr="009A6B87">
        <w:rPr>
          <w:rFonts w:ascii="Times New Roman" w:eastAsia="Times New Roman" w:hAnsi="Times New Roman" w:cs="Times New Roman"/>
          <w:sz w:val="24"/>
          <w:szCs w:val="24"/>
          <w:lang w:eastAsia="tr-TR"/>
        </w:rPr>
        <w:t xml:space="preserve"> </w:t>
      </w:r>
      <w:r w:rsidRPr="009A6B87">
        <w:rPr>
          <w:rFonts w:ascii="Times New Roman" w:eastAsia="Times New Roman" w:hAnsi="Times New Roman" w:cs="Times New Roman"/>
          <w:b/>
          <w:bCs/>
          <w:sz w:val="24"/>
          <w:szCs w:val="24"/>
          <w:lang w:eastAsia="tr-TR"/>
        </w:rPr>
        <w:t xml:space="preserve">(Değişik birinci </w:t>
      </w:r>
      <w:proofErr w:type="gramStart"/>
      <w:r w:rsidRPr="009A6B87">
        <w:rPr>
          <w:rFonts w:ascii="Times New Roman" w:eastAsia="Times New Roman" w:hAnsi="Times New Roman" w:cs="Times New Roman"/>
          <w:b/>
          <w:bCs/>
          <w:sz w:val="24"/>
          <w:szCs w:val="24"/>
          <w:lang w:eastAsia="tr-TR"/>
        </w:rPr>
        <w:t>fıkra:R.G.</w:t>
      </w:r>
      <w:proofErr w:type="gramEnd"/>
      <w:r w:rsidRPr="009A6B87">
        <w:rPr>
          <w:rFonts w:ascii="Times New Roman" w:eastAsia="Times New Roman" w:hAnsi="Times New Roman" w:cs="Times New Roman"/>
          <w:b/>
          <w:bCs/>
          <w:sz w:val="24"/>
          <w:szCs w:val="24"/>
          <w:lang w:eastAsia="tr-TR"/>
        </w:rPr>
        <w:t>-22/5/2008-26883)</w:t>
      </w:r>
      <w:r w:rsidRPr="009A6B87">
        <w:rPr>
          <w:rFonts w:ascii="Times New Roman" w:eastAsia="Times New Roman" w:hAnsi="Times New Roman" w:cs="Times New Roman"/>
          <w:sz w:val="24"/>
          <w:szCs w:val="24"/>
          <w:lang w:eastAsia="tr-TR"/>
        </w:rPr>
        <w:t xml:space="preserve"> Bölünmüş başvurular hariç, Avrupa patenti başvurusu, Enstitüye Sözleşmenin 14 üncü maddesinin birinci fıkrasındaki dillerden birinde veya 14 üncü maddesinin ikinci fıkrasına uygun olarak yapılabilir.</w:t>
      </w:r>
    </w:p>
    <w:p w14:paraId="598DE653"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Türkiye’de gerçekleştirilen ve konusu ulusal güvenliği ilgilendiren buluşlar için yapılacak olan Avrupa patenti başvuruları doğrudan Enstitüye yapılır.</w:t>
      </w:r>
    </w:p>
    <w:p w14:paraId="33C9E807"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Türkiye Cumhuriyeti sınırları içinde ikametgahı olmayan veya sınai veya ticari faaliyette bulunmayan gerçek veya tüzel kişiler tarafından Enstitüye yapılan Avrupa patenti başvuruları için Türkiye’de bir iletişim adresi verilir.</w:t>
      </w:r>
    </w:p>
    <w:p w14:paraId="63D72145"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DÖRDÜNCÜ BÖLÜM</w:t>
      </w:r>
    </w:p>
    <w:p w14:paraId="4F242DE8"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Avrupa Patenti Başvurusunun ve Avrupa Patentinin Etkileri</w:t>
      </w:r>
    </w:p>
    <w:p w14:paraId="3A01EEF4"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Avrupa Patenti Başvurusunun Etkisi</w:t>
      </w:r>
    </w:p>
    <w:p w14:paraId="7738E007"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7 —</w:t>
      </w:r>
      <w:r w:rsidRPr="009A6B87">
        <w:rPr>
          <w:rFonts w:ascii="Times New Roman" w:eastAsia="Times New Roman" w:hAnsi="Times New Roman" w:cs="Times New Roman"/>
          <w:sz w:val="24"/>
          <w:szCs w:val="24"/>
          <w:lang w:eastAsia="tr-TR"/>
        </w:rPr>
        <w:t xml:space="preserve"> Türkiye’nin seçildiği bir Avrupa patenti başvurusu, başvuru tarihi verildiği andan itibaren, varsa rüçhan hakkı talebiyle birlikte, rüçhan hakkı talep edilen başvurunun akıbetine bakılmaksızın, Türkiye’de yapılmış bir ulusal Türk patenti başvurusu olarak kabul edilir.</w:t>
      </w:r>
    </w:p>
    <w:p w14:paraId="5BF76121"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Yayımlanmış Bir Avrupa Patenti Başvurusundan Doğan Haklar</w:t>
      </w:r>
    </w:p>
    <w:p w14:paraId="3C56211B"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Madde 8 — </w:t>
      </w:r>
      <w:r w:rsidRPr="009A6B87">
        <w:rPr>
          <w:rFonts w:ascii="Times New Roman" w:eastAsia="Times New Roman" w:hAnsi="Times New Roman" w:cs="Times New Roman"/>
          <w:sz w:val="24"/>
          <w:szCs w:val="24"/>
          <w:lang w:eastAsia="tr-TR"/>
        </w:rPr>
        <w:t xml:space="preserve">Türkiye’nin seçildiği yayımlanmış bir Avrupa patenti başvurusu, Kanun Hükmünde Kararnamenin </w:t>
      </w:r>
      <w:proofErr w:type="gramStart"/>
      <w:r w:rsidRPr="009A6B87">
        <w:rPr>
          <w:rFonts w:ascii="Times New Roman" w:eastAsia="Times New Roman" w:hAnsi="Times New Roman" w:cs="Times New Roman"/>
          <w:sz w:val="24"/>
          <w:szCs w:val="24"/>
          <w:lang w:eastAsia="tr-TR"/>
        </w:rPr>
        <w:t xml:space="preserve">82 </w:t>
      </w:r>
      <w:proofErr w:type="spellStart"/>
      <w:r w:rsidRPr="009A6B87">
        <w:rPr>
          <w:rFonts w:ascii="Times New Roman" w:eastAsia="Times New Roman" w:hAnsi="Times New Roman" w:cs="Times New Roman"/>
          <w:sz w:val="24"/>
          <w:szCs w:val="24"/>
          <w:lang w:eastAsia="tr-TR"/>
        </w:rPr>
        <w:t>nci</w:t>
      </w:r>
      <w:proofErr w:type="spellEnd"/>
      <w:proofErr w:type="gramEnd"/>
      <w:r w:rsidRPr="009A6B87">
        <w:rPr>
          <w:rFonts w:ascii="Times New Roman" w:eastAsia="Times New Roman" w:hAnsi="Times New Roman" w:cs="Times New Roman"/>
          <w:sz w:val="24"/>
          <w:szCs w:val="24"/>
          <w:lang w:eastAsia="tr-TR"/>
        </w:rPr>
        <w:t xml:space="preserve"> maddesi hükmüne göre ulusal patent başvurularına verilen haklara, bu başvuruya ait istemlerin Türkçe çevirisinin bu Yönetmeliğin 10 uncu maddesine uygun olarak yayımlandığı veya Türkiye’de buluşu kullanan kişiye başvuru sahibi tarafından bildirildiği tarihten itibaren sahiptir.</w:t>
      </w:r>
    </w:p>
    <w:p w14:paraId="4F40D4C9"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Avrupa Patenti Başvurusunun İstemlerinin Türkçe Çevirisinin Sunulması</w:t>
      </w:r>
    </w:p>
    <w:p w14:paraId="053003E8"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Madde 9 </w:t>
      </w:r>
      <w:r w:rsidRPr="009A6B87">
        <w:rPr>
          <w:rFonts w:ascii="Times New Roman" w:eastAsia="Times New Roman" w:hAnsi="Times New Roman" w:cs="Times New Roman"/>
          <w:sz w:val="24"/>
          <w:szCs w:val="24"/>
          <w:lang w:eastAsia="tr-TR"/>
        </w:rPr>
        <w:t xml:space="preserve">— </w:t>
      </w:r>
      <w:r w:rsidRPr="009A6B87">
        <w:rPr>
          <w:rFonts w:ascii="Times New Roman" w:eastAsia="Times New Roman" w:hAnsi="Times New Roman" w:cs="Times New Roman"/>
          <w:b/>
          <w:bCs/>
          <w:sz w:val="24"/>
          <w:szCs w:val="24"/>
          <w:lang w:eastAsia="tr-TR"/>
        </w:rPr>
        <w:t xml:space="preserve">(Değişik </w:t>
      </w:r>
      <w:proofErr w:type="gramStart"/>
      <w:r w:rsidRPr="009A6B87">
        <w:rPr>
          <w:rFonts w:ascii="Times New Roman" w:eastAsia="Times New Roman" w:hAnsi="Times New Roman" w:cs="Times New Roman"/>
          <w:b/>
          <w:bCs/>
          <w:sz w:val="24"/>
          <w:szCs w:val="24"/>
          <w:lang w:eastAsia="tr-TR"/>
        </w:rPr>
        <w:t>fıkra:RG</w:t>
      </w:r>
      <w:proofErr w:type="gramEnd"/>
      <w:r w:rsidRPr="009A6B87">
        <w:rPr>
          <w:rFonts w:ascii="Times New Roman" w:eastAsia="Times New Roman" w:hAnsi="Times New Roman" w:cs="Times New Roman"/>
          <w:b/>
          <w:bCs/>
          <w:sz w:val="24"/>
          <w:szCs w:val="24"/>
          <w:lang w:eastAsia="tr-TR"/>
        </w:rPr>
        <w:t>-26/11/2015-29544)</w:t>
      </w:r>
      <w:r w:rsidRPr="009A6B87">
        <w:rPr>
          <w:rFonts w:ascii="Times New Roman" w:eastAsia="Times New Roman" w:hAnsi="Times New Roman" w:cs="Times New Roman"/>
          <w:sz w:val="24"/>
          <w:szCs w:val="24"/>
          <w:lang w:eastAsia="tr-TR"/>
        </w:rPr>
        <w:t xml:space="preserve"> Bu Yönetmeliğin 8 inci maddesindeki çeviri, başvuru sahibi veya vekili tarafından aşağıdaki unsurları içeren başvuru formu ile birlikte Enstitüye sunulur:</w:t>
      </w:r>
    </w:p>
    <w:p w14:paraId="1E128971"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a) Avrupa patenti başvuru numarası,</w:t>
      </w:r>
    </w:p>
    <w:p w14:paraId="482F6355"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b) Türkçe buluş başlığı ve özet,</w:t>
      </w:r>
    </w:p>
    <w:p w14:paraId="5D027EF5"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c) Varsa vekilin bilgileri,</w:t>
      </w:r>
    </w:p>
    <w:p w14:paraId="43CD56FE"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d) Türkçe çevirinin, Avrupa patenti başvurusu istemlerinin orijinal metni ile aynı olduğuna dair beyan.</w:t>
      </w:r>
    </w:p>
    <w:p w14:paraId="378F2DE2"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Avrupa patenti başvurusu sahibi, Türkiye Cumhuriyeti sınırları içinde ikametgahı olmayan veya sınai veya ticari faaliyette bulunmayan gerçek veya tüzel kişi ise istemlerin Türkçe çevirisi bir vekil tarafından sunulur.</w:t>
      </w:r>
    </w:p>
    <w:p w14:paraId="0AE00841"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(Değişik üçüncü </w:t>
      </w:r>
      <w:proofErr w:type="gramStart"/>
      <w:r w:rsidRPr="009A6B87">
        <w:rPr>
          <w:rFonts w:ascii="Times New Roman" w:eastAsia="Times New Roman" w:hAnsi="Times New Roman" w:cs="Times New Roman"/>
          <w:b/>
          <w:bCs/>
          <w:sz w:val="24"/>
          <w:szCs w:val="24"/>
          <w:lang w:eastAsia="tr-TR"/>
        </w:rPr>
        <w:t>fıkra:R.G.</w:t>
      </w:r>
      <w:proofErr w:type="gramEnd"/>
      <w:r w:rsidRPr="009A6B87">
        <w:rPr>
          <w:rFonts w:ascii="Times New Roman" w:eastAsia="Times New Roman" w:hAnsi="Times New Roman" w:cs="Times New Roman"/>
          <w:b/>
          <w:bCs/>
          <w:sz w:val="24"/>
          <w:szCs w:val="24"/>
          <w:lang w:eastAsia="tr-TR"/>
        </w:rPr>
        <w:t>-22/5/2008-26883)</w:t>
      </w:r>
      <w:r w:rsidRPr="009A6B87">
        <w:rPr>
          <w:rFonts w:ascii="Times New Roman" w:eastAsia="Times New Roman" w:hAnsi="Times New Roman" w:cs="Times New Roman"/>
          <w:sz w:val="24"/>
          <w:szCs w:val="24"/>
          <w:lang w:eastAsia="tr-TR"/>
        </w:rPr>
        <w:t xml:space="preserve"> Sunulan çeviri, Avrupa Patentlerinin Verilmesi ile İlgili Sözleşmenin Uygulama Şeklini Gösterir Yönetmeliğin 49 uncu maddesinin iki ila </w:t>
      </w:r>
      <w:proofErr w:type="spellStart"/>
      <w:r w:rsidRPr="009A6B87">
        <w:rPr>
          <w:rFonts w:ascii="Times New Roman" w:eastAsia="Times New Roman" w:hAnsi="Times New Roman" w:cs="Times New Roman"/>
          <w:sz w:val="24"/>
          <w:szCs w:val="24"/>
          <w:lang w:eastAsia="tr-TR"/>
        </w:rPr>
        <w:t>onikinci</w:t>
      </w:r>
      <w:proofErr w:type="spellEnd"/>
      <w:r w:rsidRPr="009A6B87">
        <w:rPr>
          <w:rFonts w:ascii="Times New Roman" w:eastAsia="Times New Roman" w:hAnsi="Times New Roman" w:cs="Times New Roman"/>
          <w:sz w:val="24"/>
          <w:szCs w:val="24"/>
          <w:lang w:eastAsia="tr-TR"/>
        </w:rPr>
        <w:t xml:space="preserve"> fıkralarında belirtilen şekli şartlara uygun olmalıdır.</w:t>
      </w:r>
    </w:p>
    <w:p w14:paraId="4FA94E39"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İstemlerin Türkçe Çevirisinin Yayımı</w:t>
      </w:r>
    </w:p>
    <w:p w14:paraId="2D2ACBC8"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10 —</w:t>
      </w:r>
      <w:r w:rsidRPr="009A6B87">
        <w:rPr>
          <w:rFonts w:ascii="Times New Roman" w:eastAsia="Times New Roman" w:hAnsi="Times New Roman" w:cs="Times New Roman"/>
          <w:sz w:val="24"/>
          <w:szCs w:val="24"/>
          <w:lang w:eastAsia="tr-TR"/>
        </w:rPr>
        <w:t xml:space="preserve"> Enstitü, bu Yönetmeliğin 9 uncu maddesine uygun olarak sunulan Türkçe istemleri, ücret tebliğinde belirtilen ücretin ödenmesinden sonra yayımlar. İstemlerinin Türkçe çevirisi yayımlanan Avrupa patenti başvurusu, Resmi Patent Bülteninde ilan edilir.</w:t>
      </w:r>
    </w:p>
    <w:p w14:paraId="5DD880C9"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Avrupa Patentinin Etkisi</w:t>
      </w:r>
    </w:p>
    <w:p w14:paraId="55D183A6"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Madde 11 — </w:t>
      </w:r>
      <w:r w:rsidRPr="009A6B87">
        <w:rPr>
          <w:rFonts w:ascii="Times New Roman" w:eastAsia="Times New Roman" w:hAnsi="Times New Roman" w:cs="Times New Roman"/>
          <w:sz w:val="24"/>
          <w:szCs w:val="24"/>
          <w:lang w:eastAsia="tr-TR"/>
        </w:rPr>
        <w:t xml:space="preserve">Türkiye’nin seçildiği bir Avrupa patenti, bu Yönetmeliğin </w:t>
      </w:r>
      <w:proofErr w:type="gramStart"/>
      <w:r w:rsidRPr="009A6B87">
        <w:rPr>
          <w:rFonts w:ascii="Times New Roman" w:eastAsia="Times New Roman" w:hAnsi="Times New Roman" w:cs="Times New Roman"/>
          <w:sz w:val="24"/>
          <w:szCs w:val="24"/>
          <w:lang w:eastAsia="tr-TR"/>
        </w:rPr>
        <w:t xml:space="preserve">12 </w:t>
      </w:r>
      <w:proofErr w:type="spellStart"/>
      <w:r w:rsidRPr="009A6B87">
        <w:rPr>
          <w:rFonts w:ascii="Times New Roman" w:eastAsia="Times New Roman" w:hAnsi="Times New Roman" w:cs="Times New Roman"/>
          <w:sz w:val="24"/>
          <w:szCs w:val="24"/>
          <w:lang w:eastAsia="tr-TR"/>
        </w:rPr>
        <w:t>nci</w:t>
      </w:r>
      <w:proofErr w:type="spellEnd"/>
      <w:proofErr w:type="gramEnd"/>
      <w:r w:rsidRPr="009A6B87">
        <w:rPr>
          <w:rFonts w:ascii="Times New Roman" w:eastAsia="Times New Roman" w:hAnsi="Times New Roman" w:cs="Times New Roman"/>
          <w:sz w:val="24"/>
          <w:szCs w:val="24"/>
          <w:lang w:eastAsia="tr-TR"/>
        </w:rPr>
        <w:t xml:space="preserve"> ve 13 üncü maddelerindeki koşulların sağlanması şartıyla, Avrupa Patent Ofisi tarafından, Avrupa patentinin verildiğine ilişkin ilanın yapıldığı tarihten itibaren, Türkiye’de verilen bir ulusal patent olarak kabul edilir.</w:t>
      </w:r>
    </w:p>
    <w:p w14:paraId="61B44EF8"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lastRenderedPageBreak/>
        <w:t>Avrupa Patenti Fasikülünün Türkçe Çevirisinin Sunulması</w:t>
      </w:r>
    </w:p>
    <w:p w14:paraId="5D466DDD"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Madde 12 — </w:t>
      </w:r>
      <w:r w:rsidRPr="009A6B87">
        <w:rPr>
          <w:rFonts w:ascii="Times New Roman" w:eastAsia="Times New Roman" w:hAnsi="Times New Roman" w:cs="Times New Roman"/>
          <w:sz w:val="24"/>
          <w:szCs w:val="24"/>
          <w:lang w:eastAsia="tr-TR"/>
        </w:rPr>
        <w:t>Tarifname, patent istemleri ve varsa teknik resimleri içeren Avrupa patenti fasikülünün Türkçe çevirisi Avrupa patentinin verildiğinin ilan edildiği tarihten itibaren üç ay içinde Avrupa patenti sahibi veya vekili tarafından Enstitüye sunulur.</w:t>
      </w:r>
    </w:p>
    <w:p w14:paraId="71F19518"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(Değişik </w:t>
      </w:r>
      <w:proofErr w:type="gramStart"/>
      <w:r w:rsidRPr="009A6B87">
        <w:rPr>
          <w:rFonts w:ascii="Times New Roman" w:eastAsia="Times New Roman" w:hAnsi="Times New Roman" w:cs="Times New Roman"/>
          <w:b/>
          <w:bCs/>
          <w:sz w:val="24"/>
          <w:szCs w:val="24"/>
          <w:lang w:eastAsia="tr-TR"/>
        </w:rPr>
        <w:t>fıkra:RG</w:t>
      </w:r>
      <w:proofErr w:type="gramEnd"/>
      <w:r w:rsidRPr="009A6B87">
        <w:rPr>
          <w:rFonts w:ascii="Times New Roman" w:eastAsia="Times New Roman" w:hAnsi="Times New Roman" w:cs="Times New Roman"/>
          <w:b/>
          <w:bCs/>
          <w:sz w:val="24"/>
          <w:szCs w:val="24"/>
          <w:lang w:eastAsia="tr-TR"/>
        </w:rPr>
        <w:t>-26/11/2015-29544)</w:t>
      </w:r>
      <w:r w:rsidRPr="009A6B87">
        <w:rPr>
          <w:rFonts w:ascii="Times New Roman" w:eastAsia="Times New Roman" w:hAnsi="Times New Roman" w:cs="Times New Roman"/>
          <w:sz w:val="24"/>
          <w:szCs w:val="24"/>
          <w:lang w:eastAsia="tr-TR"/>
        </w:rPr>
        <w:t xml:space="preserve"> Avrupa patenti fasikülünün çevirisi ile birlikte;</w:t>
      </w:r>
    </w:p>
    <w:p w14:paraId="5BF1A371"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a) Avrupa patenti başvuru numarası ve Avrupa patenti numarası,</w:t>
      </w:r>
    </w:p>
    <w:p w14:paraId="60180B47"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b) Türkçe buluş başlığı ve özet,</w:t>
      </w:r>
    </w:p>
    <w:p w14:paraId="15758BD8"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c) Varsa vekilin bilgileri,</w:t>
      </w:r>
    </w:p>
    <w:p w14:paraId="5982AA45"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d) Türkçe çevirinin, Avrupa patentinin orijinal metni ile aynı olduğuna dair beyanı içeren dilekçe ve ekinde Avrupa Patent Ofisi tarafından yayımlanan Avrupa patentinin verildiğine ilişkin yayın sayfası,</w:t>
      </w:r>
    </w:p>
    <w:p w14:paraId="04CAF9E1" w14:textId="77777777" w:rsidR="009A6B87" w:rsidRPr="009A6B87" w:rsidRDefault="009A6B87" w:rsidP="009A6B87">
      <w:pPr>
        <w:spacing w:before="100" w:beforeAutospacing="1" w:after="100" w:afterAutospacing="1" w:line="240" w:lineRule="atLeast"/>
        <w:ind w:firstLine="567"/>
        <w:rPr>
          <w:rFonts w:ascii="Times New Roman" w:eastAsia="Times New Roman" w:hAnsi="Times New Roman" w:cs="Times New Roman"/>
          <w:sz w:val="24"/>
          <w:szCs w:val="24"/>
          <w:lang w:eastAsia="tr-TR"/>
        </w:rPr>
      </w:pPr>
      <w:proofErr w:type="gramStart"/>
      <w:r w:rsidRPr="009A6B87">
        <w:rPr>
          <w:rFonts w:ascii="Times New Roman" w:eastAsia="Times New Roman" w:hAnsi="Times New Roman" w:cs="Times New Roman"/>
          <w:sz w:val="24"/>
          <w:szCs w:val="24"/>
          <w:lang w:eastAsia="tr-TR"/>
        </w:rPr>
        <w:t>verilir</w:t>
      </w:r>
      <w:proofErr w:type="gramEnd"/>
      <w:r w:rsidRPr="009A6B87">
        <w:rPr>
          <w:rFonts w:ascii="Times New Roman" w:eastAsia="Times New Roman" w:hAnsi="Times New Roman" w:cs="Times New Roman"/>
          <w:sz w:val="24"/>
          <w:szCs w:val="24"/>
          <w:lang w:eastAsia="tr-TR"/>
        </w:rPr>
        <w:t>.</w:t>
      </w:r>
    </w:p>
    <w:p w14:paraId="79E0D3EC"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Avrupa patenti sahibi, Türkiye Cumhuriyeti sınırları içinde ikametgahı olmayan veya sınai veya ticari faaliyette bulunmayan gerçek veya tüzel kişi ise, çeviri bir vekil tarafından sunulur.</w:t>
      </w:r>
    </w:p>
    <w:p w14:paraId="412F04DD"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Ücret tebliğinde belirtilen çevirinin yayın ücreti, bu maddenin 1 inci fıkrasında belirtilen süre içinde ödenir.</w:t>
      </w:r>
    </w:p>
    <w:p w14:paraId="43DA5D23"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(Değişik </w:t>
      </w:r>
      <w:proofErr w:type="gramStart"/>
      <w:r w:rsidRPr="009A6B87">
        <w:rPr>
          <w:rFonts w:ascii="Times New Roman" w:eastAsia="Times New Roman" w:hAnsi="Times New Roman" w:cs="Times New Roman"/>
          <w:b/>
          <w:bCs/>
          <w:sz w:val="24"/>
          <w:szCs w:val="24"/>
          <w:lang w:eastAsia="tr-TR"/>
        </w:rPr>
        <w:t>fıkra:RG</w:t>
      </w:r>
      <w:proofErr w:type="gramEnd"/>
      <w:r w:rsidRPr="009A6B87">
        <w:rPr>
          <w:rFonts w:ascii="Times New Roman" w:eastAsia="Times New Roman" w:hAnsi="Times New Roman" w:cs="Times New Roman"/>
          <w:b/>
          <w:bCs/>
          <w:sz w:val="24"/>
          <w:szCs w:val="24"/>
          <w:lang w:eastAsia="tr-TR"/>
        </w:rPr>
        <w:t xml:space="preserve">-30/3/2013-28603) </w:t>
      </w:r>
      <w:r w:rsidRPr="009A6B87">
        <w:rPr>
          <w:rFonts w:ascii="Times New Roman" w:eastAsia="Times New Roman" w:hAnsi="Times New Roman" w:cs="Times New Roman"/>
          <w:sz w:val="24"/>
          <w:szCs w:val="24"/>
          <w:lang w:eastAsia="tr-TR"/>
        </w:rPr>
        <w:t>Çevirinin, bu maddenin birinci fıkrasında belirtilen süre içinde verilmemesi halinde, bu sürenin içinde, bu sürenin sonuna eklenmek üzere, üç aylık ek süre talep edilebilir. Ücret tebliğinde belirtilen ek süre talep ücreti ve çeviri yayın ücreti taleple birlikte ödenir.</w:t>
      </w:r>
    </w:p>
    <w:p w14:paraId="2B33F32A"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(Değişik </w:t>
      </w:r>
      <w:proofErr w:type="gramStart"/>
      <w:r w:rsidRPr="009A6B87">
        <w:rPr>
          <w:rFonts w:ascii="Times New Roman" w:eastAsia="Times New Roman" w:hAnsi="Times New Roman" w:cs="Times New Roman"/>
          <w:b/>
          <w:bCs/>
          <w:sz w:val="24"/>
          <w:szCs w:val="24"/>
          <w:lang w:eastAsia="tr-TR"/>
        </w:rPr>
        <w:t>fıkra:R.G.</w:t>
      </w:r>
      <w:proofErr w:type="gramEnd"/>
      <w:r w:rsidRPr="009A6B87">
        <w:rPr>
          <w:rFonts w:ascii="Times New Roman" w:eastAsia="Times New Roman" w:hAnsi="Times New Roman" w:cs="Times New Roman"/>
          <w:b/>
          <w:bCs/>
          <w:sz w:val="24"/>
          <w:szCs w:val="24"/>
          <w:lang w:eastAsia="tr-TR"/>
        </w:rPr>
        <w:t>-22/5/2008-26883</w:t>
      </w:r>
      <w:r w:rsidRPr="009A6B87">
        <w:rPr>
          <w:rFonts w:ascii="Times New Roman" w:eastAsia="Times New Roman" w:hAnsi="Times New Roman" w:cs="Times New Roman"/>
          <w:sz w:val="24"/>
          <w:szCs w:val="24"/>
          <w:lang w:eastAsia="tr-TR"/>
        </w:rPr>
        <w:t xml:space="preserve">) Çeviri, Avrupa Patentlerinin Verilmesi ile İlgili Sözleşmenin Uygulama Şeklini Gösterir Yönetmeliğin 49 uncu maddesinin iki ila </w:t>
      </w:r>
      <w:proofErr w:type="spellStart"/>
      <w:r w:rsidRPr="009A6B87">
        <w:rPr>
          <w:rFonts w:ascii="Times New Roman" w:eastAsia="Times New Roman" w:hAnsi="Times New Roman" w:cs="Times New Roman"/>
          <w:sz w:val="24"/>
          <w:szCs w:val="24"/>
          <w:lang w:eastAsia="tr-TR"/>
        </w:rPr>
        <w:t>onikinci</w:t>
      </w:r>
      <w:proofErr w:type="spellEnd"/>
      <w:r w:rsidRPr="009A6B87">
        <w:rPr>
          <w:rFonts w:ascii="Times New Roman" w:eastAsia="Times New Roman" w:hAnsi="Times New Roman" w:cs="Times New Roman"/>
          <w:sz w:val="24"/>
          <w:szCs w:val="24"/>
          <w:lang w:eastAsia="tr-TR"/>
        </w:rPr>
        <w:t xml:space="preserve"> fıkralarında belirtilen şekli şartlara uygun olmalıdır.</w:t>
      </w:r>
    </w:p>
    <w:p w14:paraId="030457DF"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Türkçe çevirinin, Enstitüye öngörülen süre içerisinde verilmemesi veya ücretinin ödenmemesi halinde, Avrupa patenti Türkiye’de başından beri geçersiz kabul edilir.</w:t>
      </w:r>
    </w:p>
    <w:p w14:paraId="58ABAFAC"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Avrupa Patenti Fasikülünün Türkçe Çevirisinin Yayımı</w:t>
      </w:r>
    </w:p>
    <w:p w14:paraId="4D7F3307"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13 —</w:t>
      </w:r>
      <w:r w:rsidRPr="009A6B87">
        <w:rPr>
          <w:rFonts w:ascii="Times New Roman" w:eastAsia="Times New Roman" w:hAnsi="Times New Roman" w:cs="Times New Roman"/>
          <w:sz w:val="24"/>
          <w:szCs w:val="24"/>
          <w:lang w:eastAsia="tr-TR"/>
        </w:rPr>
        <w:t xml:space="preserve"> Enstitü, bu Yönetmeliğin </w:t>
      </w:r>
      <w:proofErr w:type="gramStart"/>
      <w:r w:rsidRPr="009A6B87">
        <w:rPr>
          <w:rFonts w:ascii="Times New Roman" w:eastAsia="Times New Roman" w:hAnsi="Times New Roman" w:cs="Times New Roman"/>
          <w:sz w:val="24"/>
          <w:szCs w:val="24"/>
          <w:lang w:eastAsia="tr-TR"/>
        </w:rPr>
        <w:t xml:space="preserve">12 </w:t>
      </w:r>
      <w:proofErr w:type="spellStart"/>
      <w:r w:rsidRPr="009A6B87">
        <w:rPr>
          <w:rFonts w:ascii="Times New Roman" w:eastAsia="Times New Roman" w:hAnsi="Times New Roman" w:cs="Times New Roman"/>
          <w:sz w:val="24"/>
          <w:szCs w:val="24"/>
          <w:lang w:eastAsia="tr-TR"/>
        </w:rPr>
        <w:t>nci</w:t>
      </w:r>
      <w:proofErr w:type="spellEnd"/>
      <w:proofErr w:type="gramEnd"/>
      <w:r w:rsidRPr="009A6B87">
        <w:rPr>
          <w:rFonts w:ascii="Times New Roman" w:eastAsia="Times New Roman" w:hAnsi="Times New Roman" w:cs="Times New Roman"/>
          <w:sz w:val="24"/>
          <w:szCs w:val="24"/>
          <w:lang w:eastAsia="tr-TR"/>
        </w:rPr>
        <w:t xml:space="preserve"> maddesine uygun olarak sunulan çeviriyi yayımlar. Fasikülünün Türkçe çevirisi yayımlanan Avrupa patenti, Resmi Patent Bülteninde ilan edilir.</w:t>
      </w:r>
    </w:p>
    <w:p w14:paraId="23D56059"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İtiraz veya Kısıtlama İşlemi Sonucu Değişen Metin</w:t>
      </w:r>
    </w:p>
    <w:p w14:paraId="4BDDF0C7"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14 —</w:t>
      </w:r>
      <w:r w:rsidRPr="009A6B87">
        <w:rPr>
          <w:rFonts w:ascii="Times New Roman" w:eastAsia="Times New Roman" w:hAnsi="Times New Roman" w:cs="Times New Roman"/>
          <w:sz w:val="24"/>
          <w:szCs w:val="24"/>
          <w:lang w:eastAsia="tr-TR"/>
        </w:rPr>
        <w:t xml:space="preserve"> </w:t>
      </w:r>
      <w:r w:rsidRPr="009A6B87">
        <w:rPr>
          <w:rFonts w:ascii="Times New Roman" w:eastAsia="Times New Roman" w:hAnsi="Times New Roman" w:cs="Times New Roman"/>
          <w:b/>
          <w:bCs/>
          <w:sz w:val="24"/>
          <w:szCs w:val="24"/>
          <w:lang w:eastAsia="tr-TR"/>
        </w:rPr>
        <w:t xml:space="preserve">(Başlığı ile birlikte </w:t>
      </w:r>
      <w:proofErr w:type="gramStart"/>
      <w:r w:rsidRPr="009A6B87">
        <w:rPr>
          <w:rFonts w:ascii="Times New Roman" w:eastAsia="Times New Roman" w:hAnsi="Times New Roman" w:cs="Times New Roman"/>
          <w:b/>
          <w:bCs/>
          <w:sz w:val="24"/>
          <w:szCs w:val="24"/>
          <w:lang w:eastAsia="tr-TR"/>
        </w:rPr>
        <w:t>değişik:RG</w:t>
      </w:r>
      <w:proofErr w:type="gramEnd"/>
      <w:r w:rsidRPr="009A6B87">
        <w:rPr>
          <w:rFonts w:ascii="Times New Roman" w:eastAsia="Times New Roman" w:hAnsi="Times New Roman" w:cs="Times New Roman"/>
          <w:b/>
          <w:bCs/>
          <w:sz w:val="24"/>
          <w:szCs w:val="24"/>
          <w:lang w:eastAsia="tr-TR"/>
        </w:rPr>
        <w:t xml:space="preserve">-30/3/2013-28603) </w:t>
      </w:r>
    </w:p>
    <w:p w14:paraId="1C6ACFD9"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S Bir Avrupa patentinin, Sözleşmenin 101 inci maddesi hükmüne göre itiraz işlemi sonucunda değiştirilmesi veya patent sahibinin talebi üzerine Sözleşmenin 105 inci maddesinin (b) bendi hükmüne göre kısıtlanması durumunda bu değişikliğin, Avrupa Patent Bülteninde ilanından itibaren üç ay içinde değişen metnin çeviri yayın ücreti ile birlikte Türkçe çevirisinin Enstitüye sunulması ve yayımlanması için bu Yönetmeliğin </w:t>
      </w:r>
      <w:proofErr w:type="gramStart"/>
      <w:r w:rsidRPr="009A6B87">
        <w:rPr>
          <w:rFonts w:ascii="Times New Roman" w:eastAsia="Times New Roman" w:hAnsi="Times New Roman" w:cs="Times New Roman"/>
          <w:sz w:val="24"/>
          <w:szCs w:val="24"/>
          <w:lang w:eastAsia="tr-TR"/>
        </w:rPr>
        <w:t xml:space="preserve">12 </w:t>
      </w:r>
      <w:proofErr w:type="spellStart"/>
      <w:r w:rsidRPr="009A6B87">
        <w:rPr>
          <w:rFonts w:ascii="Times New Roman" w:eastAsia="Times New Roman" w:hAnsi="Times New Roman" w:cs="Times New Roman"/>
          <w:sz w:val="24"/>
          <w:szCs w:val="24"/>
          <w:lang w:eastAsia="tr-TR"/>
        </w:rPr>
        <w:t>nci</w:t>
      </w:r>
      <w:proofErr w:type="spellEnd"/>
      <w:proofErr w:type="gramEnd"/>
      <w:r w:rsidRPr="009A6B87">
        <w:rPr>
          <w:rFonts w:ascii="Times New Roman" w:eastAsia="Times New Roman" w:hAnsi="Times New Roman" w:cs="Times New Roman"/>
          <w:sz w:val="24"/>
          <w:szCs w:val="24"/>
          <w:lang w:eastAsia="tr-TR"/>
        </w:rPr>
        <w:t xml:space="preserve"> ve 13 üncü madde hükümleri uygulanır. Değişen metnin Türkçe çevirisinin, çeviri yayın ücreti ile birlikte Enstitüye süresi içinde verilmemesi veya bu ücret ile birlikte ek süre ücretinin ödenerek ek süre talep edilmemesi halinde, Avrupa patenti Türkiye’de başından beri geçersiz kabul edilir.</w:t>
      </w:r>
    </w:p>
    <w:p w14:paraId="48B46B3C"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BEŞİNCİ BÖLÜM</w:t>
      </w:r>
    </w:p>
    <w:p w14:paraId="4C82A780"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Avrupa Patenti Başvurusu ve Avrupa Patentinin Bağlayıcı Metni</w:t>
      </w:r>
    </w:p>
    <w:p w14:paraId="4B60B703"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Koruma Kapsamı</w:t>
      </w:r>
    </w:p>
    <w:p w14:paraId="5859BBF0"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lastRenderedPageBreak/>
        <w:t>Madde 15 —</w:t>
      </w:r>
      <w:r w:rsidRPr="009A6B87">
        <w:rPr>
          <w:rFonts w:ascii="Times New Roman" w:eastAsia="Times New Roman" w:hAnsi="Times New Roman" w:cs="Times New Roman"/>
          <w:sz w:val="24"/>
          <w:szCs w:val="24"/>
          <w:lang w:eastAsia="tr-TR"/>
        </w:rPr>
        <w:t xml:space="preserve"> Bu Yönetmeliğin 9 uncu veya </w:t>
      </w:r>
      <w:proofErr w:type="gramStart"/>
      <w:r w:rsidRPr="009A6B87">
        <w:rPr>
          <w:rFonts w:ascii="Times New Roman" w:eastAsia="Times New Roman" w:hAnsi="Times New Roman" w:cs="Times New Roman"/>
          <w:sz w:val="24"/>
          <w:szCs w:val="24"/>
          <w:lang w:eastAsia="tr-TR"/>
        </w:rPr>
        <w:t xml:space="preserve">12 </w:t>
      </w:r>
      <w:proofErr w:type="spellStart"/>
      <w:r w:rsidRPr="009A6B87">
        <w:rPr>
          <w:rFonts w:ascii="Times New Roman" w:eastAsia="Times New Roman" w:hAnsi="Times New Roman" w:cs="Times New Roman"/>
          <w:sz w:val="24"/>
          <w:szCs w:val="24"/>
          <w:lang w:eastAsia="tr-TR"/>
        </w:rPr>
        <w:t>nci</w:t>
      </w:r>
      <w:proofErr w:type="spellEnd"/>
      <w:proofErr w:type="gramEnd"/>
      <w:r w:rsidRPr="009A6B87">
        <w:rPr>
          <w:rFonts w:ascii="Times New Roman" w:eastAsia="Times New Roman" w:hAnsi="Times New Roman" w:cs="Times New Roman"/>
          <w:sz w:val="24"/>
          <w:szCs w:val="24"/>
          <w:lang w:eastAsia="tr-TR"/>
        </w:rPr>
        <w:t xml:space="preserve"> maddesine uygun olarak verilen Türkçe çevirinin, Avrupa patenti başvurusunun veya Avrupa patentinin işlem dilinde olan metninden dar olması durumunda, hükümsüzlük işlemleri hariç, koruma kapsamının belirlenmesinde Türkçe çeviri esas alınır.</w:t>
      </w:r>
    </w:p>
    <w:p w14:paraId="058BDBD4"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Düzeltilmiş Türkçe Çeviri</w:t>
      </w:r>
    </w:p>
    <w:p w14:paraId="617D0E3C"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16 —</w:t>
      </w:r>
      <w:r w:rsidRPr="009A6B87">
        <w:rPr>
          <w:rFonts w:ascii="Times New Roman" w:eastAsia="Times New Roman" w:hAnsi="Times New Roman" w:cs="Times New Roman"/>
          <w:sz w:val="24"/>
          <w:szCs w:val="24"/>
          <w:lang w:eastAsia="tr-TR"/>
        </w:rPr>
        <w:t xml:space="preserve"> Avrupa patenti veya başvurusu sahibi, düzeltilmiş Türkçe çeviriyi herhangi bir zamanda Enstitüye sunabilir.</w:t>
      </w:r>
    </w:p>
    <w:p w14:paraId="1597F2CF"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Düzeltilmiş çeviri, bu Yönetmeliğin </w:t>
      </w:r>
      <w:proofErr w:type="gramStart"/>
      <w:r w:rsidRPr="009A6B87">
        <w:rPr>
          <w:rFonts w:ascii="Times New Roman" w:eastAsia="Times New Roman" w:hAnsi="Times New Roman" w:cs="Times New Roman"/>
          <w:sz w:val="24"/>
          <w:szCs w:val="24"/>
          <w:lang w:eastAsia="tr-TR"/>
        </w:rPr>
        <w:t xml:space="preserve">7 </w:t>
      </w:r>
      <w:proofErr w:type="spellStart"/>
      <w:r w:rsidRPr="009A6B87">
        <w:rPr>
          <w:rFonts w:ascii="Times New Roman" w:eastAsia="Times New Roman" w:hAnsi="Times New Roman" w:cs="Times New Roman"/>
          <w:sz w:val="24"/>
          <w:szCs w:val="24"/>
          <w:lang w:eastAsia="tr-TR"/>
        </w:rPr>
        <w:t>nci</w:t>
      </w:r>
      <w:proofErr w:type="spellEnd"/>
      <w:proofErr w:type="gramEnd"/>
      <w:r w:rsidRPr="009A6B87">
        <w:rPr>
          <w:rFonts w:ascii="Times New Roman" w:eastAsia="Times New Roman" w:hAnsi="Times New Roman" w:cs="Times New Roman"/>
          <w:sz w:val="24"/>
          <w:szCs w:val="24"/>
          <w:lang w:eastAsia="tr-TR"/>
        </w:rPr>
        <w:t xml:space="preserve"> veya 11 inci maddesindeki etkiye, ancak bu Yönetmeliğin 10 uncu veya 13 üncü maddesi hükmü sağlandığında sahip olur.</w:t>
      </w:r>
    </w:p>
    <w:p w14:paraId="014AAEF8"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İyi Niyetli Kullanım</w:t>
      </w:r>
    </w:p>
    <w:p w14:paraId="29270350"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17 —</w:t>
      </w:r>
      <w:r w:rsidRPr="009A6B87">
        <w:rPr>
          <w:rFonts w:ascii="Times New Roman" w:eastAsia="Times New Roman" w:hAnsi="Times New Roman" w:cs="Times New Roman"/>
          <w:sz w:val="24"/>
          <w:szCs w:val="24"/>
          <w:lang w:eastAsia="tr-TR"/>
        </w:rPr>
        <w:t xml:space="preserve"> Düzeltilmiş çevirinin yayımlanmasından sonra, iyi niyetli olarak buluşu önceden kullanmaya başlamış olan veya buluşu kullanım için ciddi hazırlıklara girmiş olan kişinin kullanımı, Avrupa patenti başvurusunun ya da Avrupa patenti fasikülünün ilk Türkçe çevirisine göre tecavüz sayılmadığı durumlarda, işletmenin gereksinimi nedeniyle, patent sahibinin iznini gerektirmeksizin ücretsiz olarak devam edebilir.</w:t>
      </w:r>
    </w:p>
    <w:p w14:paraId="58B6D5C6"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ALTINCI BÖLÜM</w:t>
      </w:r>
    </w:p>
    <w:p w14:paraId="7933FDBB"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Yıllık Ücretler</w:t>
      </w:r>
    </w:p>
    <w:p w14:paraId="5A99ED90"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Avrupa Patentlerinin Yıllık Ücretlerinin Ödenmesi</w:t>
      </w:r>
    </w:p>
    <w:p w14:paraId="5E3B8640" w14:textId="77777777" w:rsidR="009A6B87" w:rsidRPr="009A6B87" w:rsidRDefault="009A6B87" w:rsidP="009A6B87">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Madde 18 </w:t>
      </w:r>
      <w:proofErr w:type="gramStart"/>
      <w:r w:rsidRPr="009A6B87">
        <w:rPr>
          <w:rFonts w:ascii="Times New Roman" w:eastAsia="Times New Roman" w:hAnsi="Times New Roman" w:cs="Times New Roman"/>
          <w:b/>
          <w:bCs/>
          <w:sz w:val="24"/>
          <w:szCs w:val="24"/>
          <w:lang w:eastAsia="tr-TR"/>
        </w:rPr>
        <w:t>—</w:t>
      </w:r>
      <w:r w:rsidRPr="009A6B87">
        <w:rPr>
          <w:rFonts w:ascii="Times New Roman" w:eastAsia="Times New Roman" w:hAnsi="Times New Roman" w:cs="Times New Roman"/>
          <w:sz w:val="24"/>
          <w:szCs w:val="24"/>
          <w:lang w:eastAsia="tr-TR"/>
        </w:rPr>
        <w:t xml:space="preserve">  </w:t>
      </w:r>
      <w:r w:rsidRPr="009A6B87">
        <w:rPr>
          <w:rFonts w:ascii="Times New Roman" w:eastAsia="Times New Roman" w:hAnsi="Times New Roman" w:cs="Times New Roman"/>
          <w:b/>
          <w:bCs/>
          <w:sz w:val="24"/>
          <w:szCs w:val="24"/>
          <w:lang w:eastAsia="tr-TR"/>
        </w:rPr>
        <w:t>(</w:t>
      </w:r>
      <w:proofErr w:type="gramEnd"/>
      <w:r w:rsidRPr="009A6B87">
        <w:rPr>
          <w:rFonts w:ascii="Times New Roman" w:eastAsia="Times New Roman" w:hAnsi="Times New Roman" w:cs="Times New Roman"/>
          <w:b/>
          <w:bCs/>
          <w:sz w:val="24"/>
          <w:szCs w:val="24"/>
          <w:lang w:eastAsia="tr-TR"/>
        </w:rPr>
        <w:t>Değişik:R.G.-22/5/2008-26883)</w:t>
      </w:r>
    </w:p>
    <w:p w14:paraId="2C9A3665" w14:textId="77777777" w:rsidR="009A6B87" w:rsidRPr="009A6B87" w:rsidRDefault="009A6B87" w:rsidP="009A6B87">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(Değişik </w:t>
      </w:r>
      <w:proofErr w:type="gramStart"/>
      <w:r w:rsidRPr="009A6B87">
        <w:rPr>
          <w:rFonts w:ascii="Times New Roman" w:eastAsia="Times New Roman" w:hAnsi="Times New Roman" w:cs="Times New Roman"/>
          <w:b/>
          <w:bCs/>
          <w:sz w:val="24"/>
          <w:szCs w:val="24"/>
          <w:lang w:eastAsia="tr-TR"/>
        </w:rPr>
        <w:t>fıkra:RG</w:t>
      </w:r>
      <w:proofErr w:type="gramEnd"/>
      <w:r w:rsidRPr="009A6B87">
        <w:rPr>
          <w:rFonts w:ascii="Times New Roman" w:eastAsia="Times New Roman" w:hAnsi="Times New Roman" w:cs="Times New Roman"/>
          <w:b/>
          <w:bCs/>
          <w:sz w:val="24"/>
          <w:szCs w:val="24"/>
          <w:lang w:eastAsia="tr-TR"/>
        </w:rPr>
        <w:t xml:space="preserve">-30/3/2013-28603) </w:t>
      </w:r>
      <w:r w:rsidRPr="009A6B87">
        <w:rPr>
          <w:rFonts w:ascii="Times New Roman" w:eastAsia="Times New Roman" w:hAnsi="Times New Roman" w:cs="Times New Roman"/>
          <w:sz w:val="24"/>
          <w:szCs w:val="24"/>
          <w:lang w:eastAsia="tr-TR"/>
        </w:rPr>
        <w:t>Avrupa patentine ilişkin yıllık ücretler, Sözleşmenin 141 inci maddesinin birinci fıkrasına uygun olarak, Avrupa patenti sahibi veya vekili tarafından Enstitüye ödenir.</w:t>
      </w:r>
    </w:p>
    <w:p w14:paraId="33257ECF" w14:textId="77777777" w:rsidR="009A6B87" w:rsidRPr="009A6B87" w:rsidRDefault="009A6B87" w:rsidP="009A6B87">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Avrupa patenti sahibi, Türkiye Cumhuriyeti sınırları içinde ikametgahı olmayan veya sınai veya ticari faaliyette bulunmayan gerçek veya tüzel kişi ise, Avrupa patentine ilişkin yıllık ücretler bir vekil tarafından ödenir.</w:t>
      </w:r>
    </w:p>
    <w:p w14:paraId="407E94EE" w14:textId="77777777" w:rsidR="009A6B87" w:rsidRPr="009A6B87" w:rsidRDefault="009A6B87" w:rsidP="009A6B87">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Avrupa patentinin verildiğinin yayımlanmasından sonraki üç ay içinde vadesi gelmiş ve ödenmesi gerekli olan Avrupa patentine ilişkin yıllık ücretlerin bu süre içinde Enstitüye ödenmesi halinde, geçerli bir şekilde ödenmiş olduğu kabul edilir ve ek ücret </w:t>
      </w:r>
      <w:proofErr w:type="gramStart"/>
      <w:r w:rsidRPr="009A6B87">
        <w:rPr>
          <w:rFonts w:ascii="Times New Roman" w:eastAsia="Times New Roman" w:hAnsi="Times New Roman" w:cs="Times New Roman"/>
          <w:sz w:val="24"/>
          <w:szCs w:val="24"/>
          <w:lang w:eastAsia="tr-TR"/>
        </w:rPr>
        <w:t>istenmez..</w:t>
      </w:r>
      <w:proofErr w:type="gramEnd"/>
    </w:p>
    <w:p w14:paraId="53243E1C"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YEDİNCİ BÖLÜM</w:t>
      </w:r>
    </w:p>
    <w:p w14:paraId="306F953C"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Ulusal Patent veya Faydalı Model Başvurusuna Dönüştürme</w:t>
      </w:r>
    </w:p>
    <w:p w14:paraId="43BCE933"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Dönüştürme</w:t>
      </w:r>
    </w:p>
    <w:p w14:paraId="414B3187"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19 — (</w:t>
      </w:r>
      <w:proofErr w:type="gramStart"/>
      <w:r w:rsidRPr="009A6B87">
        <w:rPr>
          <w:rFonts w:ascii="Times New Roman" w:eastAsia="Times New Roman" w:hAnsi="Times New Roman" w:cs="Times New Roman"/>
          <w:b/>
          <w:bCs/>
          <w:sz w:val="24"/>
          <w:szCs w:val="24"/>
          <w:lang w:eastAsia="tr-TR"/>
        </w:rPr>
        <w:t>Değişik:RG</w:t>
      </w:r>
      <w:proofErr w:type="gramEnd"/>
      <w:r w:rsidRPr="009A6B87">
        <w:rPr>
          <w:rFonts w:ascii="Times New Roman" w:eastAsia="Times New Roman" w:hAnsi="Times New Roman" w:cs="Times New Roman"/>
          <w:b/>
          <w:bCs/>
          <w:sz w:val="24"/>
          <w:szCs w:val="24"/>
          <w:lang w:eastAsia="tr-TR"/>
        </w:rPr>
        <w:t>-22/5/2008-26883)</w:t>
      </w:r>
    </w:p>
    <w:p w14:paraId="7CB7E660"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Sözleşmenin </w:t>
      </w:r>
      <w:proofErr w:type="gramStart"/>
      <w:r w:rsidRPr="009A6B87">
        <w:rPr>
          <w:rFonts w:ascii="Times New Roman" w:eastAsia="Times New Roman" w:hAnsi="Times New Roman" w:cs="Times New Roman"/>
          <w:sz w:val="24"/>
          <w:szCs w:val="24"/>
          <w:lang w:eastAsia="tr-TR"/>
        </w:rPr>
        <w:t xml:space="preserve">77 </w:t>
      </w:r>
      <w:proofErr w:type="spellStart"/>
      <w:r w:rsidRPr="009A6B87">
        <w:rPr>
          <w:rFonts w:ascii="Times New Roman" w:eastAsia="Times New Roman" w:hAnsi="Times New Roman" w:cs="Times New Roman"/>
          <w:sz w:val="24"/>
          <w:szCs w:val="24"/>
          <w:lang w:eastAsia="tr-TR"/>
        </w:rPr>
        <w:t>nci</w:t>
      </w:r>
      <w:proofErr w:type="spellEnd"/>
      <w:proofErr w:type="gramEnd"/>
      <w:r w:rsidRPr="009A6B87">
        <w:rPr>
          <w:rFonts w:ascii="Times New Roman" w:eastAsia="Times New Roman" w:hAnsi="Times New Roman" w:cs="Times New Roman"/>
          <w:sz w:val="24"/>
          <w:szCs w:val="24"/>
          <w:lang w:eastAsia="tr-TR"/>
        </w:rPr>
        <w:t xml:space="preserve"> maddesinin üçüncü fıkrasına göre geri çekilmiş sayılan Türkiye’nin seçildiği bir Avrupa patenti başvurusu, ulusal patent veya faydalı model başvurusuna dönüştürülebilir.</w:t>
      </w:r>
    </w:p>
    <w:p w14:paraId="360DE504"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Dönüştürme Talebinin Kabulü</w:t>
      </w:r>
    </w:p>
    <w:p w14:paraId="4E1792E9"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20 —</w:t>
      </w:r>
      <w:r w:rsidRPr="009A6B87">
        <w:rPr>
          <w:rFonts w:ascii="Times New Roman" w:eastAsia="Times New Roman" w:hAnsi="Times New Roman" w:cs="Times New Roman"/>
          <w:sz w:val="24"/>
          <w:szCs w:val="24"/>
          <w:lang w:eastAsia="tr-TR"/>
        </w:rPr>
        <w:t xml:space="preserve"> Bu Yönetmeliğin 19 uncu maddesindeki dönüştürme, dönüştürme talebinin Enstitü tarafından alındığı tarihten itibaren üç ay içinde;</w:t>
      </w:r>
    </w:p>
    <w:p w14:paraId="796BC0EB"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a) Ulusal başvuru ücretinin,</w:t>
      </w:r>
    </w:p>
    <w:p w14:paraId="35D4F421"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b) Avrupa patenti başvurusunun </w:t>
      </w:r>
      <w:proofErr w:type="spellStart"/>
      <w:r w:rsidRPr="009A6B87">
        <w:rPr>
          <w:rFonts w:ascii="Times New Roman" w:eastAsia="Times New Roman" w:hAnsi="Times New Roman" w:cs="Times New Roman"/>
          <w:sz w:val="24"/>
          <w:szCs w:val="24"/>
          <w:lang w:eastAsia="tr-TR"/>
        </w:rPr>
        <w:t>orjinal</w:t>
      </w:r>
      <w:proofErr w:type="spellEnd"/>
      <w:r w:rsidRPr="009A6B87">
        <w:rPr>
          <w:rFonts w:ascii="Times New Roman" w:eastAsia="Times New Roman" w:hAnsi="Times New Roman" w:cs="Times New Roman"/>
          <w:sz w:val="24"/>
          <w:szCs w:val="24"/>
          <w:lang w:eastAsia="tr-TR"/>
        </w:rPr>
        <w:t xml:space="preserve"> metninin Türkçe çevirisinin veya başvuru sahibinin ulusal işlemlerde esas alınmasını istemiş olması halinde başvurunun Avrupa Patent Ofisi nezdinde değiştirilen metninin Türkçe çevirisinin,</w:t>
      </w:r>
    </w:p>
    <w:p w14:paraId="45A65A19"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Avrupa patenti başvurusu sahibi veya vekili tarafından Enstitüye teslimi halinde kabul edilir.</w:t>
      </w:r>
    </w:p>
    <w:p w14:paraId="19DB4F32"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lastRenderedPageBreak/>
        <w:t>Avrupa patenti başvurusu sahibi, Türkiye Cumhuriyeti sınırları içinde ikametgahı olmayan veya sınai veya ticari faaliyette bulunmayan gerçek veya tüzel kişi ise, ulusal başvuru ücreti ve başvurunun Türkçe tercümesi bir vekil tarafından sunulur.</w:t>
      </w:r>
    </w:p>
    <w:p w14:paraId="0D79EA0A"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Dönüştürme talebi kabul edilen başvurulara, Kanun Hükmünde Kararname ve 551 sayılı Patent Haklarının Korunması Hakkında Kanun Hükmünde Kararnamenin Uygulama Şeklini Gösterir Yönetmelik hükümleri uygulanır.</w:t>
      </w:r>
    </w:p>
    <w:p w14:paraId="19142FF1"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Kabul edilen dönüştürme talebi Resmi Patent Bülteninde ilan edilir.</w:t>
      </w:r>
    </w:p>
    <w:p w14:paraId="367FEDC5"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Bir Avrupa patenti başvurusunun dönüştürülmesinden ortaya çıkan Türk patenti veya faydalı model belgesi fasikülünde, bu patent veya faydalı modelin bir Avrupa patenti başvurusundan dönüştürüldüğü belirtilir.</w:t>
      </w:r>
    </w:p>
    <w:p w14:paraId="64D16167"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SEKİZİNCİ BÖLÜM</w:t>
      </w:r>
    </w:p>
    <w:p w14:paraId="4F928728"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Çifte Koruma</w:t>
      </w:r>
    </w:p>
    <w:p w14:paraId="4357E219"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Çifte Koruma</w:t>
      </w:r>
    </w:p>
    <w:p w14:paraId="1D89A762"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21 —</w:t>
      </w:r>
      <w:r w:rsidRPr="009A6B87">
        <w:rPr>
          <w:rFonts w:ascii="Times New Roman" w:eastAsia="Times New Roman" w:hAnsi="Times New Roman" w:cs="Times New Roman"/>
          <w:sz w:val="24"/>
          <w:szCs w:val="24"/>
          <w:lang w:eastAsia="tr-TR"/>
        </w:rPr>
        <w:t xml:space="preserve"> Aynı kişi veya halefine, aynı başvuru tarihi veya rüçhan hakkı talep edilmişse aynı rüçhan tarihiyle, aynı konu için hem Türkiye’nin seçildiği bir Avrupa patenti ve hem de ulusal patent veya faydalı model belgesi verildiğinde, Avrupa patentinin itiraz işlemi sonucunda değiştirilmeden devamına karar verilmesi veya itiraz işlemi süresince herhangi bir itiraz yapılmaması durumunda, itiraz işlemi süresi sonunda ulusal patent veya faydalı model hükmü sona erer.</w:t>
      </w:r>
    </w:p>
    <w:p w14:paraId="44E72D53"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DOKUZUNCU BÖLÜM</w:t>
      </w:r>
    </w:p>
    <w:p w14:paraId="73C29101" w14:textId="77777777" w:rsidR="009A6B87" w:rsidRPr="009A6B87" w:rsidRDefault="009A6B87" w:rsidP="009A6B87">
      <w:pPr>
        <w:spacing w:after="0" w:line="240" w:lineRule="auto"/>
        <w:ind w:firstLine="567"/>
        <w:jc w:val="center"/>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Diğer Hükümler</w:t>
      </w:r>
    </w:p>
    <w:p w14:paraId="0A41DAFD"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Bilgilendirme Talepleri</w:t>
      </w:r>
    </w:p>
    <w:p w14:paraId="1B7AC6B2"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22 —</w:t>
      </w:r>
      <w:r w:rsidRPr="009A6B87">
        <w:rPr>
          <w:rFonts w:ascii="Times New Roman" w:eastAsia="Times New Roman" w:hAnsi="Times New Roman" w:cs="Times New Roman"/>
          <w:sz w:val="24"/>
          <w:szCs w:val="24"/>
          <w:lang w:eastAsia="tr-TR"/>
        </w:rPr>
        <w:t xml:space="preserve"> </w:t>
      </w:r>
      <w:r w:rsidRPr="009A6B87">
        <w:rPr>
          <w:rFonts w:ascii="Times New Roman" w:eastAsia="Times New Roman" w:hAnsi="Times New Roman" w:cs="Times New Roman"/>
          <w:b/>
          <w:bCs/>
          <w:sz w:val="24"/>
          <w:szCs w:val="24"/>
          <w:lang w:eastAsia="tr-TR"/>
        </w:rPr>
        <w:t>(</w:t>
      </w:r>
      <w:proofErr w:type="gramStart"/>
      <w:r w:rsidRPr="009A6B87">
        <w:rPr>
          <w:rFonts w:ascii="Times New Roman" w:eastAsia="Times New Roman" w:hAnsi="Times New Roman" w:cs="Times New Roman"/>
          <w:b/>
          <w:bCs/>
          <w:sz w:val="24"/>
          <w:szCs w:val="24"/>
          <w:lang w:eastAsia="tr-TR"/>
        </w:rPr>
        <w:t>Değişik:RG</w:t>
      </w:r>
      <w:proofErr w:type="gramEnd"/>
      <w:r w:rsidRPr="009A6B87">
        <w:rPr>
          <w:rFonts w:ascii="Times New Roman" w:eastAsia="Times New Roman" w:hAnsi="Times New Roman" w:cs="Times New Roman"/>
          <w:b/>
          <w:bCs/>
          <w:sz w:val="24"/>
          <w:szCs w:val="24"/>
          <w:lang w:eastAsia="tr-TR"/>
        </w:rPr>
        <w:t>-22/5/2008-26883)</w:t>
      </w:r>
    </w:p>
    <w:p w14:paraId="502569A3"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xml:space="preserve"> Avrupa Patent Ofisinden gelecek bilgilendirme taleplerini, Avrupa Patentlerinin Verilmesi ile İlgili Sözleşmenin Uygulama Şeklini Gösterir Yönetmeliğin </w:t>
      </w:r>
      <w:proofErr w:type="gramStart"/>
      <w:r w:rsidRPr="009A6B87">
        <w:rPr>
          <w:rFonts w:ascii="Times New Roman" w:eastAsia="Times New Roman" w:hAnsi="Times New Roman" w:cs="Times New Roman"/>
          <w:sz w:val="24"/>
          <w:szCs w:val="24"/>
          <w:lang w:eastAsia="tr-TR"/>
        </w:rPr>
        <w:t xml:space="preserve">150 </w:t>
      </w:r>
      <w:proofErr w:type="spellStart"/>
      <w:r w:rsidRPr="009A6B87">
        <w:rPr>
          <w:rFonts w:ascii="Times New Roman" w:eastAsia="Times New Roman" w:hAnsi="Times New Roman" w:cs="Times New Roman"/>
          <w:sz w:val="24"/>
          <w:szCs w:val="24"/>
          <w:lang w:eastAsia="tr-TR"/>
        </w:rPr>
        <w:t>nci</w:t>
      </w:r>
      <w:proofErr w:type="spellEnd"/>
      <w:proofErr w:type="gramEnd"/>
      <w:r w:rsidRPr="009A6B87">
        <w:rPr>
          <w:rFonts w:ascii="Times New Roman" w:eastAsia="Times New Roman" w:hAnsi="Times New Roman" w:cs="Times New Roman"/>
          <w:sz w:val="24"/>
          <w:szCs w:val="24"/>
          <w:lang w:eastAsia="tr-TR"/>
        </w:rPr>
        <w:t xml:space="preserve"> maddesi hükmü uyarınca Enstitü alır.</w:t>
      </w:r>
    </w:p>
    <w:p w14:paraId="46527D4A"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Yürürlük</w:t>
      </w:r>
    </w:p>
    <w:p w14:paraId="659D4903"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Madde 23 —</w:t>
      </w:r>
      <w:r w:rsidRPr="009A6B87">
        <w:rPr>
          <w:rFonts w:ascii="Times New Roman" w:eastAsia="Times New Roman" w:hAnsi="Times New Roman" w:cs="Times New Roman"/>
          <w:sz w:val="24"/>
          <w:szCs w:val="24"/>
          <w:lang w:eastAsia="tr-TR"/>
        </w:rPr>
        <w:t xml:space="preserve"> Bu Yönetmelik yayımı tarihinde yürürlüğe girer.</w:t>
      </w:r>
    </w:p>
    <w:p w14:paraId="5E06DCB8"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Yürütme</w:t>
      </w:r>
    </w:p>
    <w:p w14:paraId="484E5682" w14:textId="77777777" w:rsidR="009A6B87" w:rsidRPr="009A6B87" w:rsidRDefault="009A6B87" w:rsidP="009A6B87">
      <w:pPr>
        <w:spacing w:after="0" w:line="240" w:lineRule="auto"/>
        <w:ind w:firstLine="567"/>
        <w:jc w:val="both"/>
        <w:rPr>
          <w:rFonts w:ascii="Times New Roman" w:eastAsia="Times New Roman" w:hAnsi="Times New Roman" w:cs="Times New Roman"/>
          <w:sz w:val="24"/>
          <w:szCs w:val="24"/>
          <w:lang w:eastAsia="tr-TR"/>
        </w:rPr>
      </w:pPr>
      <w:r w:rsidRPr="009A6B87">
        <w:rPr>
          <w:rFonts w:ascii="Times New Roman" w:eastAsia="Times New Roman" w:hAnsi="Times New Roman" w:cs="Times New Roman"/>
          <w:b/>
          <w:bCs/>
          <w:sz w:val="24"/>
          <w:szCs w:val="24"/>
          <w:lang w:eastAsia="tr-TR"/>
        </w:rPr>
        <w:t xml:space="preserve">Madde 24 — </w:t>
      </w:r>
      <w:r w:rsidRPr="009A6B87">
        <w:rPr>
          <w:rFonts w:ascii="Times New Roman" w:eastAsia="Times New Roman" w:hAnsi="Times New Roman" w:cs="Times New Roman"/>
          <w:sz w:val="24"/>
          <w:szCs w:val="24"/>
          <w:lang w:eastAsia="tr-TR"/>
        </w:rPr>
        <w:t>Bu Yönetmelik hükümlerini Türk Patent Enstitüsü Başkanı yürütür.</w:t>
      </w:r>
    </w:p>
    <w:p w14:paraId="0059A700" w14:textId="77777777" w:rsidR="009A6B87" w:rsidRPr="009A6B87" w:rsidRDefault="009A6B87" w:rsidP="009A6B87">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9A6B87">
        <w:rPr>
          <w:rFonts w:ascii="Times New Roman" w:eastAsia="Times New Roman" w:hAnsi="Times New Roman" w:cs="Times New Roman"/>
          <w:sz w:val="24"/>
          <w:szCs w:val="24"/>
          <w:lang w:eastAsia="tr-TR"/>
        </w:rPr>
        <w:t> </w:t>
      </w:r>
    </w:p>
    <w:p w14:paraId="4D6F1B28" w14:textId="77777777" w:rsidR="009A6B87" w:rsidRPr="009A6B87" w:rsidRDefault="009A6B87">
      <w:pPr>
        <w:rPr>
          <w:rFonts w:ascii="Times New Roman" w:hAnsi="Times New Roman" w:cs="Times New Roman"/>
          <w:sz w:val="24"/>
          <w:szCs w:val="24"/>
        </w:rPr>
      </w:pPr>
    </w:p>
    <w:sectPr w:rsidR="009A6B87" w:rsidRPr="009A6B87" w:rsidSect="00155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87"/>
    <w:rsid w:val="00155801"/>
    <w:rsid w:val="00362709"/>
    <w:rsid w:val="009A6B87"/>
    <w:rsid w:val="00A63554"/>
    <w:rsid w:val="00C712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7F83"/>
  <w15:chartTrackingRefBased/>
  <w15:docId w15:val="{7D34FBF5-3591-4154-B2F2-56775A55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B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A6B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045318">
      <w:bodyDiv w:val="1"/>
      <w:marLeft w:val="0"/>
      <w:marRight w:val="0"/>
      <w:marTop w:val="0"/>
      <w:marBottom w:val="0"/>
      <w:divBdr>
        <w:top w:val="none" w:sz="0" w:space="0" w:color="auto"/>
        <w:left w:val="none" w:sz="0" w:space="0" w:color="auto"/>
        <w:bottom w:val="none" w:sz="0" w:space="0" w:color="auto"/>
        <w:right w:val="none" w:sz="0" w:space="0" w:color="auto"/>
      </w:divBdr>
      <w:divsChild>
        <w:div w:id="118066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Yalçıner</dc:creator>
  <cp:keywords/>
  <dc:description/>
  <cp:lastModifiedBy>Ugur Yalçıner</cp:lastModifiedBy>
  <cp:revision>1</cp:revision>
  <dcterms:created xsi:type="dcterms:W3CDTF">2020-05-15T21:02:00Z</dcterms:created>
  <dcterms:modified xsi:type="dcterms:W3CDTF">2020-05-15T21:03:00Z</dcterms:modified>
</cp:coreProperties>
</file>